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0A25" w14:textId="732712C5" w:rsidR="00C03EB8" w:rsidRPr="00C03EB8" w:rsidRDefault="008A6621" w:rsidP="00C03EB8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«</w:t>
      </w:r>
      <w:proofErr w:type="spellStart"/>
      <w:r w:rsidRPr="008A662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Патоморфолог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»</w:t>
      </w:r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студенттік</w:t>
      </w:r>
      <w:proofErr w:type="spellEnd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ғылыми-практикалық</w:t>
      </w:r>
      <w:proofErr w:type="spellEnd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үйірмесі</w:t>
      </w:r>
      <w:proofErr w:type="spellEnd"/>
    </w:p>
    <w:p w14:paraId="3349A89D" w14:textId="670CED49" w:rsidR="00C03EB8" w:rsidRDefault="00C03EB8" w:rsidP="00C03EB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 xml:space="preserve">Үйірме жетекшісі: 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kk-KZ" w:eastAsia="ru-RU"/>
        </w:rPr>
        <w:t>С</w:t>
      </w:r>
      <w:r w:rsidR="0045636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kk-KZ" w:eastAsia="ru-RU"/>
        </w:rPr>
        <w:t>магулов Асет Қуат ұлы</w:t>
      </w:r>
    </w:p>
    <w:p w14:paraId="296F7551" w14:textId="5270A6A3" w:rsidR="00C03EB8" w:rsidRPr="00C03EB8" w:rsidRDefault="00C03EB8" w:rsidP="00C03EB8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Студенттердің патологиялық анатомия мен патологиялық физиология саласындағы теориялық білімдерін тереңдету, жануарлар ауруларының даму заңдылықтарын зерттеудегі практикалық дағдыларын жетілдіру және болашақ ветеринария мамандарының ғылыми-зерттеушілік әлеуетін арттыру.</w:t>
      </w:r>
    </w:p>
    <w:p w14:paraId="33F46D2F" w14:textId="417710FD" w:rsidR="00C03EB8" w:rsidRPr="00C03EB8" w:rsidRDefault="00C03EB8" w:rsidP="00C03EB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</w:p>
    <w:p w14:paraId="430D65DD" w14:textId="0D033C4E" w:rsidR="00C03EB8" w:rsidRPr="00C03EB8" w:rsidRDefault="00C03EB8" w:rsidP="0045636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Теориялық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негізді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нығайту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="00456367"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Білім</w:t>
      </w:r>
      <w:proofErr w:type="spellEnd"/>
      <w:r w:rsidR="00456367"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="00456367"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алушылар</w:t>
      </w:r>
      <w:proofErr w:type="spellEnd"/>
      <w:r w:rsidR="0045636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ды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жануарлардың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патологиялық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үдерістері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негізгі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нозологиялық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формаларының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патогенезімен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тереңірек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таныстыру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74099531" w14:textId="77777777" w:rsidR="00C03EB8" w:rsidRPr="00C03EB8" w:rsidRDefault="00C03EB8" w:rsidP="0045636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Практикалық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дағдыларды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Өлік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материалдарын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сою (аутопсия), макро-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микропрепараттарды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зерттеу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патологиялық-анатомиялық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диагноз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қою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әдістемелерін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меңгерту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2EAD64B3" w14:textId="27CC0A6A" w:rsidR="00C03EB8" w:rsidRPr="00C03EB8" w:rsidRDefault="00C03EB8" w:rsidP="0045636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Ғылыми-ізденіс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жұмыстары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="00456367"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Білім</w:t>
      </w:r>
      <w:proofErr w:type="spellEnd"/>
      <w:r w:rsidR="00456367"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="00456367"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алушылар</w:t>
      </w:r>
      <w:proofErr w:type="spellEnd"/>
      <w:r w:rsidR="0045636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ды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ғылыми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әдебиеттермен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істеуге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клиникалық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жағдайларды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талдауға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case-study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ғылыми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баяндамалар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дайындауға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баулу;</w:t>
      </w:r>
    </w:p>
    <w:p w14:paraId="4CFCF015" w14:textId="77777777" w:rsidR="00C03EB8" w:rsidRPr="00C03EB8" w:rsidRDefault="00C03EB8" w:rsidP="0045636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Кәсіби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жауапкершілікті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қалыптастыру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Ветеринариялық-санитариялық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ережелерді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биоэтика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нормаларын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сақтай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отырып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шешім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қабылдауға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үйрету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1E93334B" w14:textId="36387BDF" w:rsidR="00C03EB8" w:rsidRPr="00C03EB8" w:rsidRDefault="00C03EB8" w:rsidP="00C03EB8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 ж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ұмыс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жоспарының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негізгі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бағыттары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102379AC" w14:textId="77777777" w:rsidR="00C03EB8" w:rsidRPr="00C03EB8" w:rsidRDefault="00C03EB8" w:rsidP="00C03EB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Патоморфологиялық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бағыт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Макроскопиялық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микроскопиялық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зерттеулер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мұражайлық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патологиялық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препараттарды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дайындау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реставрациялау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BFF8284" w14:textId="77777777" w:rsidR="00C03EB8" w:rsidRPr="00C03EB8" w:rsidRDefault="00C03EB8" w:rsidP="00C03EB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Патофизиологиялық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бағыт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Организмнің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типтік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патологиялық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үдерістерін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қабыну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қызба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ісіктер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дистрофия)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клиникалық-эксперименттік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тұрғыдан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талдау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543EE349" w14:textId="75F7E561" w:rsidR="00C03EB8" w:rsidRDefault="00C03EB8" w:rsidP="00C03EB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Диагностикалық-сараптамалық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бағыт</w:t>
      </w:r>
      <w:proofErr w:type="spellEnd"/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Өлім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себептерін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анықтау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мақсатында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патологиялық-анатомиялық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сою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хаттамаларын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толтыруды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үйрену</w:t>
      </w:r>
      <w:proofErr w:type="spellEnd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0BA23F7D" w14:textId="79369946" w:rsidR="00C03EB8" w:rsidRPr="00C03EB8" w:rsidRDefault="00456367" w:rsidP="004563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  </w:t>
      </w:r>
      <w:proofErr w:type="spellStart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="00C03EB8"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</w:t>
      </w:r>
      <w:proofErr w:type="spellEnd"/>
      <w:r w:rsid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6A6A5B53" w14:textId="76153F64" w:rsidR="00C03EB8" w:rsidRPr="00C03EB8" w:rsidRDefault="00C03EB8" w:rsidP="00C03E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bookmarkStart w:id="0" w:name="_Hlk232581276"/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Білім алушылар</w:t>
      </w:r>
      <w:bookmarkEnd w:id="0"/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жануарлар өлігін союдың және патологиялық материалдарды іріктеудің ветеринариялық-санитариялық ережелерін толық меңгереді;</w:t>
      </w:r>
    </w:p>
    <w:p w14:paraId="0D3E72D8" w14:textId="77777777" w:rsidR="00C03EB8" w:rsidRPr="00456367" w:rsidRDefault="00C03EB8" w:rsidP="00C03E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Макро- және микроскопиялық деңгейде патологиялық өзгерістерді ажыратып, дұрыс диагноз қоюды үйренеді;</w:t>
      </w:r>
    </w:p>
    <w:p w14:paraId="2FC88D54" w14:textId="44627556" w:rsidR="00C03EB8" w:rsidRDefault="00C03EB8" w:rsidP="00C03EB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Білім алушылардың </w:t>
      </w:r>
      <w:r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кәсіби құзыреттілігі артып, олардың арасынан колледж, аймақтық және республикалық деңгейдегі ғылыми-</w:t>
      </w:r>
      <w:r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lastRenderedPageBreak/>
        <w:t>практикалық конференциялар мен "WorldSkills" (немесе арнайы кәсіби) чемпионаттарының қатысушылары мен жүлдегерлері шығады.</w:t>
      </w:r>
    </w:p>
    <w:p w14:paraId="103C432E" w14:textId="733884D8" w:rsidR="00456367" w:rsidRPr="00456367" w:rsidRDefault="00456367" w:rsidP="004563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24548645" wp14:editId="53D1DA8F">
            <wp:extent cx="1816735" cy="12134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566B1BE0" wp14:editId="0696032B">
            <wp:extent cx="1005840" cy="121920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1DB44D68" wp14:editId="461388DC">
            <wp:extent cx="694690" cy="123126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1D46D689" wp14:editId="3891550C">
            <wp:extent cx="1666875" cy="12469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63" cy="124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D7E85" w14:textId="251FE03C" w:rsidR="00C03EB8" w:rsidRPr="00456367" w:rsidRDefault="00C03EB8" w:rsidP="00C03EB8">
      <w:pPr>
        <w:spacing w:before="100" w:beforeAutospacing="1"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4563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Қорытынды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. </w:t>
      </w:r>
      <w:r w:rsidRPr="0045636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«Патологиялық анатомия және патологиялық физиология»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кабинеті жанындағы үйірме жұмысы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– білім алушылардың </w:t>
      </w:r>
      <w:r w:rsidRPr="00C03EB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кәсіби ойлау қабілетін қалыптастырудың маңызды сатысы. </w:t>
      </w:r>
      <w:r w:rsidRPr="0045636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Мұнда алған білім мен дағдылар болашақ ветеринария мамандарына клиникалық пәндерді (ішкі жұқпалы емес аурулар, хирургия, акушерлік, эпизоотология және паразитология) терең меңгеруге берік іргетас болып қаланады.</w:t>
      </w:r>
    </w:p>
    <w:p w14:paraId="52EA3084" w14:textId="646B8FAE" w:rsidR="00C03EB8" w:rsidRPr="00C03EB8" w:rsidRDefault="00C03EB8" w:rsidP="00C03EB8">
      <w:pPr>
        <w:spacing w:before="100" w:beforeAutospacing="1"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 w:rsidRPr="00C03EB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Үйірмеге қатысушылар тізімі:</w:t>
      </w:r>
    </w:p>
    <w:p w14:paraId="31F24D89" w14:textId="77777777" w:rsidR="00621472" w:rsidRPr="00621472" w:rsidRDefault="00621472" w:rsidP="00621472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62147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Марат Алинур</w:t>
      </w:r>
    </w:p>
    <w:p w14:paraId="6667DE87" w14:textId="77777777" w:rsidR="00621472" w:rsidRPr="00621472" w:rsidRDefault="00621472" w:rsidP="00621472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62147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Алтен Еларыс</w:t>
      </w:r>
    </w:p>
    <w:p w14:paraId="7F9DD323" w14:textId="77777777" w:rsidR="00621472" w:rsidRPr="00621472" w:rsidRDefault="00621472" w:rsidP="00621472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62147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Айджан Алиби</w:t>
      </w:r>
    </w:p>
    <w:p w14:paraId="09225866" w14:textId="77777777" w:rsidR="00621472" w:rsidRPr="00621472" w:rsidRDefault="00621472" w:rsidP="00621472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62147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Асетулы Мади</w:t>
      </w:r>
    </w:p>
    <w:p w14:paraId="0D73E9F2" w14:textId="4960296F" w:rsidR="00C03EB8" w:rsidRPr="00621472" w:rsidRDefault="00621472" w:rsidP="00621472">
      <w:pPr>
        <w:pStyle w:val="a3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62147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Айтберген Медеу</w:t>
      </w:r>
      <w:bookmarkStart w:id="1" w:name="_GoBack"/>
      <w:bookmarkEnd w:id="1"/>
    </w:p>
    <w:sectPr w:rsidR="00C03EB8" w:rsidRPr="0062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B550D"/>
    <w:multiLevelType w:val="multilevel"/>
    <w:tmpl w:val="2FF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D3FDA"/>
    <w:multiLevelType w:val="multilevel"/>
    <w:tmpl w:val="B8A0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83DE4"/>
    <w:multiLevelType w:val="multilevel"/>
    <w:tmpl w:val="4F64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841E8"/>
    <w:multiLevelType w:val="hybridMultilevel"/>
    <w:tmpl w:val="6BE22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98"/>
    <w:rsid w:val="00456367"/>
    <w:rsid w:val="006057A4"/>
    <w:rsid w:val="00621472"/>
    <w:rsid w:val="008A6621"/>
    <w:rsid w:val="00A31A7F"/>
    <w:rsid w:val="00A31F98"/>
    <w:rsid w:val="00C0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5493"/>
  <w15:chartTrackingRefBased/>
  <w15:docId w15:val="{24DE940D-72B7-4972-B7EC-BA2F53F4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81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2026-06-17T03:52:00Z</dcterms:created>
  <dcterms:modified xsi:type="dcterms:W3CDTF">2026-06-17T04:48:00Z</dcterms:modified>
</cp:coreProperties>
</file>